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198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12 марта</w:t>
      </w:r>
      <w:r>
        <w:rPr>
          <w:rFonts w:ascii="Times New Roman" w:eastAsia="Times New Roman" w:hAnsi="Times New Roman" w:cs="Times New Roman"/>
          <w:sz w:val="28"/>
          <w:szCs w:val="28"/>
        </w:rPr>
        <w:t xml:space="preserve"> 2015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Барабаш Дмитрия Васильевича</w:t>
      </w:r>
      <w:r>
        <w:rPr>
          <w:rFonts w:ascii="Times New Roman" w:eastAsia="Times New Roman" w:hAnsi="Times New Roman" w:cs="Times New Roman"/>
          <w:sz w:val="28"/>
          <w:szCs w:val="28"/>
        </w:rPr>
        <w:t xml:space="preserve">, </w:t>
      </w:r>
      <w:r>
        <w:rPr>
          <w:rStyle w:val="cat-ExternalSystemDefinedgrp-28rplc-7"/>
          <w:rFonts w:ascii="Times New Roman" w:eastAsia="Times New Roman" w:hAnsi="Times New Roman" w:cs="Times New Roman"/>
          <w:sz w:val="28"/>
          <w:szCs w:val="28"/>
        </w:rPr>
        <w:t>...</w:t>
      </w:r>
      <w:r>
        <w:rPr>
          <w:rStyle w:val="cat-PassportDatagrp-22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Style w:val="cat-OrganizationNamegrp-23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UserDefinedgrp-31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30rplc-13"/>
          <w:rFonts w:ascii="Times New Roman" w:eastAsia="Times New Roman" w:hAnsi="Times New Roman" w:cs="Times New Roman"/>
          <w:sz w:val="28"/>
          <w:szCs w:val="28"/>
        </w:rPr>
        <w:t>...</w:t>
      </w:r>
      <w:r>
        <w:rPr>
          <w:rStyle w:val="cat-ExternalSystemDefinedgrp-29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563</w:t>
      </w:r>
      <w:r>
        <w:rPr>
          <w:rFonts w:ascii="Times New Roman" w:eastAsia="Times New Roman" w:hAnsi="Times New Roman" w:cs="Times New Roman"/>
          <w:sz w:val="28"/>
          <w:szCs w:val="28"/>
        </w:rPr>
        <w:t xml:space="preserve"> км а/д </w:t>
      </w:r>
      <w:r>
        <w:rPr>
          <w:rFonts w:ascii="Times New Roman" w:eastAsia="Times New Roman" w:hAnsi="Times New Roman" w:cs="Times New Roman"/>
          <w:sz w:val="28"/>
          <w:szCs w:val="28"/>
        </w:rPr>
        <w:t>Тюмень-Ханты-Мансийск, Нефтеюганского</w:t>
      </w:r>
      <w:r>
        <w:rPr>
          <w:rFonts w:ascii="Times New Roman" w:eastAsia="Times New Roman" w:hAnsi="Times New Roman" w:cs="Times New Roman"/>
          <w:sz w:val="28"/>
          <w:szCs w:val="28"/>
        </w:rPr>
        <w:t xml:space="preserve"> района, Х</w:t>
      </w:r>
      <w:r>
        <w:rPr>
          <w:rFonts w:ascii="Times New Roman" w:eastAsia="Times New Roman" w:hAnsi="Times New Roman" w:cs="Times New Roman"/>
          <w:sz w:val="28"/>
          <w:szCs w:val="28"/>
        </w:rPr>
        <w:t>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Веста</w:t>
      </w:r>
      <w:r>
        <w:rPr>
          <w:rFonts w:ascii="Times New Roman" w:eastAsia="Times New Roman" w:hAnsi="Times New Roman" w:cs="Times New Roman"/>
          <w:sz w:val="28"/>
          <w:szCs w:val="28"/>
        </w:rPr>
        <w:t xml:space="preserve">, </w:t>
      </w:r>
      <w:r>
        <w:rPr>
          <w:rStyle w:val="cat-CarNumbergrp-25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оверш</w:t>
      </w:r>
      <w:r>
        <w:rPr>
          <w:rFonts w:ascii="Times New Roman" w:eastAsia="Times New Roman" w:hAnsi="Times New Roman" w:cs="Times New Roman"/>
          <w:sz w:val="28"/>
          <w:szCs w:val="28"/>
        </w:rPr>
        <w:t xml:space="preserve">ил </w:t>
      </w:r>
      <w:r>
        <w:rPr>
          <w:rFonts w:ascii="Times New Roman" w:eastAsia="Times New Roman" w:hAnsi="Times New Roman" w:cs="Times New Roman"/>
          <w:sz w:val="28"/>
          <w:szCs w:val="28"/>
        </w:rPr>
        <w:t xml:space="preserve">обгон </w:t>
      </w:r>
      <w:r>
        <w:rPr>
          <w:rFonts w:ascii="Times New Roman" w:eastAsia="Times New Roman" w:hAnsi="Times New Roman" w:cs="Times New Roman"/>
          <w:sz w:val="28"/>
          <w:szCs w:val="28"/>
        </w:rPr>
        <w:t>движущегося впереди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w:t>
      </w:r>
      <w:r>
        <w:rPr>
          <w:rFonts w:ascii="Times New Roman" w:eastAsia="Times New Roman" w:hAnsi="Times New Roman" w:cs="Times New Roman"/>
          <w:sz w:val="28"/>
          <w:szCs w:val="28"/>
        </w:rPr>
        <w:t xml:space="preserve">здом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полосу дороги, предназначенную для встречного </w:t>
      </w:r>
      <w:r>
        <w:rPr>
          <w:rFonts w:ascii="Times New Roman" w:eastAsia="Times New Roman" w:hAnsi="Times New Roman" w:cs="Times New Roman"/>
          <w:sz w:val="28"/>
          <w:szCs w:val="28"/>
        </w:rPr>
        <w:t>движения, в</w:t>
      </w:r>
      <w:r>
        <w:rPr>
          <w:rFonts w:ascii="Times New Roman" w:eastAsia="Times New Roman" w:hAnsi="Times New Roman" w:cs="Times New Roman"/>
          <w:sz w:val="28"/>
          <w:szCs w:val="28"/>
        </w:rPr>
        <w:t xml:space="preserve"> 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мосту через реку «Лев»,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исследовав материалы а</w:t>
      </w:r>
      <w:r>
        <w:rPr>
          <w:rFonts w:ascii="Times New Roman" w:eastAsia="Times New Roman" w:hAnsi="Times New Roman" w:cs="Times New Roman"/>
          <w:sz w:val="28"/>
          <w:szCs w:val="28"/>
        </w:rPr>
        <w:t xml:space="preserve">дминистративного дела, считает, что вина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2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20.01.2025</w:t>
      </w:r>
      <w:r>
        <w:rPr>
          <w:rFonts w:ascii="Times New Roman" w:eastAsia="Times New Roman" w:hAnsi="Times New Roman" w:cs="Times New Roman"/>
          <w:sz w:val="28"/>
          <w:szCs w:val="28"/>
        </w:rPr>
        <w:t xml:space="preserve">, из которого следует, что права и обязанности, предусмотренные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20.01.2025 в 12: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3, на 563 км а/д Тюмень-Ханты-Мансийск, </w:t>
      </w:r>
      <w:r>
        <w:rPr>
          <w:rFonts w:ascii="Times New Roman" w:eastAsia="Times New Roman" w:hAnsi="Times New Roman" w:cs="Times New Roman"/>
          <w:sz w:val="28"/>
          <w:szCs w:val="28"/>
        </w:rPr>
        <w:t>Нефтеюганского района, ХМАО-Югры, управляя транспортным средством Лад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Веста, </w:t>
      </w:r>
      <w:r>
        <w:rPr>
          <w:rStyle w:val="cat-CarNumbergrp-25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движущегося впереди транспортного средства,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выездом на полосу дороги, предназначенную для встречного движения, в зоне действия дорожного знака 3.20 «Обгон запрещен», на мосту через реку «Лев»</w:t>
      </w:r>
      <w:r>
        <w:rPr>
          <w:rFonts w:ascii="Times New Roman" w:eastAsia="Times New Roman" w:hAnsi="Times New Roman" w:cs="Times New Roman"/>
          <w:sz w:val="28"/>
          <w:szCs w:val="28"/>
        </w:rPr>
        <w:t>,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20.01.2025 в 12: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3, на 563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Тюмень-Ханты-Мансийск, управляя транспортным средством Лад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Веста, </w:t>
      </w:r>
      <w:r>
        <w:rPr>
          <w:rStyle w:val="cat-CarNumbergrp-25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с выездом на полосу дороги, предназначенную для встречного движения, в зоне действия дорожного знака 3.20 «Обгон запрещен», на мосту через реку «Лев»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рапортом инспектора ДПС </w:t>
      </w:r>
      <w:r>
        <w:rPr>
          <w:rFonts w:ascii="Times New Roman" w:eastAsia="Times New Roman" w:hAnsi="Times New Roman" w:cs="Times New Roman"/>
          <w:sz w:val="28"/>
          <w:szCs w:val="28"/>
        </w:rPr>
        <w:t xml:space="preserve">ОВ </w:t>
      </w:r>
      <w:r>
        <w:rPr>
          <w:rStyle w:val="cat-ExternalSystemDefinedgrp-27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России по </w:t>
      </w:r>
      <w:r>
        <w:rPr>
          <w:rFonts w:ascii="Times New Roman" w:eastAsia="Times New Roman" w:hAnsi="Times New Roman" w:cs="Times New Roman"/>
          <w:sz w:val="28"/>
          <w:szCs w:val="28"/>
        </w:rPr>
        <w:t>Нефтеюганскому району</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20.01.2025 в 12: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3, на 563 км а/д Тюмень-Ханты-Мансийск, управляя транспортным средством Лад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Веста, </w:t>
      </w:r>
      <w:r>
        <w:rPr>
          <w:rStyle w:val="cat-CarNumbergrp-25rplc-5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выездом</w:t>
      </w:r>
      <w:r>
        <w:rPr>
          <w:rFonts w:ascii="Times New Roman" w:eastAsia="Times New Roman" w:hAnsi="Times New Roman" w:cs="Times New Roman"/>
          <w:sz w:val="28"/>
          <w:szCs w:val="28"/>
        </w:rPr>
        <w:t xml:space="preserve"> на полосу дороги, предназначенную для встречного движения, в зоне действия дорожного знака 3.20 «Обгон запрещен», на мосту через реку «Лев»</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 имеется мост через реку «Лев»</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правонарушения, </w:t>
      </w:r>
      <w:r>
        <w:rPr>
          <w:rFonts w:ascii="Times New Roman" w:eastAsia="Times New Roman" w:hAnsi="Times New Roman" w:cs="Times New Roman"/>
          <w:sz w:val="28"/>
          <w:szCs w:val="28"/>
        </w:rPr>
        <w:t xml:space="preserve">видно как а/м </w:t>
      </w:r>
      <w:r>
        <w:rPr>
          <w:rFonts w:ascii="Times New Roman" w:eastAsia="Times New Roman" w:hAnsi="Times New Roman" w:cs="Times New Roman"/>
          <w:sz w:val="28"/>
          <w:szCs w:val="28"/>
        </w:rPr>
        <w:t>Лад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Веста, </w:t>
      </w:r>
      <w:r>
        <w:rPr>
          <w:rStyle w:val="cat-CarNumbergrp-25rplc-5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выездом</w:t>
      </w:r>
      <w:r>
        <w:rPr>
          <w:rFonts w:ascii="Times New Roman" w:eastAsia="Times New Roman" w:hAnsi="Times New Roman" w:cs="Times New Roman"/>
          <w:sz w:val="28"/>
          <w:szCs w:val="28"/>
        </w:rPr>
        <w:t xml:space="preserve"> на полосу дороги, предназначенную для встречного движения, в зоне действия дорожного знака 3.20 «Обгон запрещен», на мосту через реку «Лев»</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реестром правонарушений, из которого следует, что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привлекался к административной ответственности по Гл. 12 КоАП РФ.</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требованиям </w:t>
      </w:r>
      <w:hyperlink r:id="rId4" w:history="1">
        <w:r>
          <w:rPr>
            <w:rFonts w:ascii="Times New Roman" w:eastAsia="Times New Roman" w:hAnsi="Times New Roman" w:cs="Times New Roman"/>
            <w:color w:val="0000EE"/>
            <w:sz w:val="28"/>
            <w:szCs w:val="28"/>
          </w:rPr>
          <w:t>пункта 1.3</w:t>
        </w:r>
      </w:hyperlink>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П</w:t>
      </w:r>
      <w:hyperlink r:id="rId6" w:history="1">
        <w:r>
          <w:rPr>
            <w:rFonts w:ascii="Times New Roman" w:eastAsia="Times New Roman" w:hAnsi="Times New Roman" w:cs="Times New Roman"/>
            <w:color w:val="0000EE"/>
            <w:sz w:val="28"/>
            <w:szCs w:val="28"/>
          </w:rPr>
          <w:t>унктом 11.4</w:t>
        </w:r>
      </w:hyperlink>
      <w:r>
        <w:rPr>
          <w:rFonts w:ascii="Times New Roman" w:eastAsia="Times New Roman" w:hAnsi="Times New Roman" w:cs="Times New Roman"/>
          <w:sz w:val="28"/>
          <w:szCs w:val="28"/>
        </w:rPr>
        <w:t xml:space="preserve"> Правил дорожного движения</w:t>
      </w:r>
      <w:r>
        <w:rPr>
          <w:rFonts w:ascii="Times New Roman" w:eastAsia="Times New Roman" w:hAnsi="Times New Roman" w:cs="Times New Roman"/>
          <w:sz w:val="28"/>
          <w:szCs w:val="28"/>
        </w:rPr>
        <w:t xml:space="preserve"> установлено, что</w:t>
      </w:r>
      <w:r>
        <w:rPr>
          <w:rFonts w:ascii="Times New Roman" w:eastAsia="Times New Roman" w:hAnsi="Times New Roman" w:cs="Times New Roman"/>
          <w:sz w:val="28"/>
          <w:szCs w:val="28"/>
        </w:rPr>
        <w:t xml:space="preserve"> обгон запрещен на мостах, путепроводах, эстакадах и под ними, а также в тоннелях. </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при совершении обгона требований дорожного знака 3.20, в совокупности с выездом на полосу дороги, предназначенную для встречного движения, </w:t>
      </w:r>
      <w:r>
        <w:rPr>
          <w:rFonts w:ascii="Times New Roman" w:eastAsia="Times New Roman" w:hAnsi="Times New Roman" w:cs="Times New Roman"/>
          <w:sz w:val="28"/>
          <w:szCs w:val="28"/>
        </w:rPr>
        <w:t xml:space="preserve">на мосту, </w:t>
      </w:r>
      <w:r>
        <w:rPr>
          <w:rFonts w:ascii="Times New Roman" w:eastAsia="Times New Roman" w:hAnsi="Times New Roman" w:cs="Times New Roman"/>
          <w:sz w:val="28"/>
          <w:szCs w:val="28"/>
        </w:rPr>
        <w:t>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Барабаш 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Pr>
          <w:rFonts w:ascii="Times New Roman" w:eastAsia="Times New Roman" w:hAnsi="Times New Roman" w:cs="Times New Roman"/>
          <w:sz w:val="28"/>
          <w:szCs w:val="28"/>
        </w:rPr>
        <w:t>не находит</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w:t>
      </w:r>
    </w:p>
    <w:p>
      <w:pPr>
        <w:spacing w:before="0" w:after="0"/>
        <w:ind w:right="26" w:firstLine="567"/>
        <w:jc w:val="both"/>
        <w:rPr>
          <w:sz w:val="28"/>
          <w:szCs w:val="28"/>
        </w:rPr>
      </w:pPr>
      <w:r>
        <w:rPr>
          <w:rFonts w:ascii="Times New Roman" w:eastAsia="Times New Roman" w:hAnsi="Times New Roman" w:cs="Times New Roman"/>
          <w:sz w:val="28"/>
          <w:szCs w:val="28"/>
        </w:rPr>
        <w:t>Согласно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right="26" w:firstLine="567"/>
        <w:jc w:val="both"/>
        <w:rPr>
          <w:sz w:val="28"/>
          <w:szCs w:val="28"/>
        </w:rPr>
      </w:pPr>
      <w:r>
        <w:rPr>
          <w:rFonts w:ascii="Times New Roman" w:eastAsia="Times New Roman" w:hAnsi="Times New Roman" w:cs="Times New Roman"/>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pPr>
        <w:spacing w:before="0" w:after="0"/>
        <w:ind w:right="26" w:firstLine="567"/>
        <w:jc w:val="both"/>
        <w:rPr>
          <w:sz w:val="28"/>
          <w:szCs w:val="28"/>
        </w:rPr>
      </w:pPr>
      <w:r>
        <w:rPr>
          <w:rFonts w:ascii="Times New Roman" w:eastAsia="Times New Roman" w:hAnsi="Times New Roman" w:cs="Times New Roman"/>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подтверждающих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pPr>
        <w:spacing w:before="0" w:after="0"/>
        <w:ind w:right="26" w:firstLine="567"/>
        <w:jc w:val="both"/>
        <w:rPr>
          <w:sz w:val="28"/>
          <w:szCs w:val="28"/>
        </w:rPr>
      </w:pPr>
      <w:r>
        <w:rPr>
          <w:rFonts w:ascii="Times New Roman" w:eastAsia="Times New Roman" w:hAnsi="Times New Roman" w:cs="Times New Roman"/>
          <w:sz w:val="28"/>
          <w:szCs w:val="28"/>
        </w:rPr>
        <w:t xml:space="preserve">Учитывая установленные по делу фактические обстоятельства, характер и степень общественной опасности совершенного административного правонарушения, учитывая, что ранее </w:t>
      </w:r>
      <w:r>
        <w:rPr>
          <w:rFonts w:ascii="Times New Roman" w:eastAsia="Times New Roman" w:hAnsi="Times New Roman" w:cs="Times New Roman"/>
          <w:sz w:val="28"/>
          <w:szCs w:val="28"/>
        </w:rPr>
        <w:t xml:space="preserve">Барабаш Д.В. </w:t>
      </w:r>
      <w:r>
        <w:rPr>
          <w:rFonts w:ascii="Times New Roman" w:eastAsia="Times New Roman" w:hAnsi="Times New Roman" w:cs="Times New Roman"/>
          <w:sz w:val="28"/>
          <w:szCs w:val="28"/>
        </w:rPr>
        <w:t>неоднократно привлекался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(более 20 раз в течение календарного года) за совершение однородных административных правонарушений в области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назначает </w:t>
      </w:r>
      <w:r>
        <w:rPr>
          <w:rFonts w:ascii="Times New Roman" w:eastAsia="Times New Roman" w:hAnsi="Times New Roman" w:cs="Times New Roman"/>
          <w:sz w:val="28"/>
          <w:szCs w:val="28"/>
        </w:rPr>
        <w:t xml:space="preserve">Барабаш Д.В. </w:t>
      </w:r>
      <w:r>
        <w:rPr>
          <w:rFonts w:ascii="Times New Roman" w:eastAsia="Times New Roman" w:hAnsi="Times New Roman" w:cs="Times New Roman"/>
          <w:sz w:val="28"/>
          <w:szCs w:val="28"/>
        </w:rPr>
        <w:t>наказание в виде лишения права управления транспортными средствами, поскольку данное наказание будет способствовать его исправлению.</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Назначение более мягкого вида наказания в виде административного штрафа, чем лишение права управления транспортными средствами, не будет отвечать целям и задачам законодательства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Барабаш Дмитрия Васильевича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04 (четыре) месяца.</w:t>
      </w:r>
    </w:p>
    <w:p>
      <w:pPr>
        <w:tabs>
          <w:tab w:val="left" w:pos="567"/>
        </w:tabs>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tabs>
          <w:tab w:val="left" w:pos="567"/>
        </w:tabs>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footerReference w:type="default" r:id="rId7"/>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14906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8rplc-7">
    <w:name w:val="cat-ExternalSystemDefined grp-28 rplc-7"/>
    <w:basedOn w:val="DefaultParagraphFont"/>
  </w:style>
  <w:style w:type="character" w:customStyle="1" w:styleId="cat-PassportDatagrp-22rplc-8">
    <w:name w:val="cat-PassportData grp-22 rplc-8"/>
    <w:basedOn w:val="DefaultParagraphFont"/>
  </w:style>
  <w:style w:type="character" w:customStyle="1" w:styleId="cat-OrganizationNamegrp-23rplc-9">
    <w:name w:val="cat-OrganizationName grp-23 rplc-9"/>
    <w:basedOn w:val="DefaultParagraphFont"/>
  </w:style>
  <w:style w:type="character" w:customStyle="1" w:styleId="cat-UserDefinedgrp-31rplc-10">
    <w:name w:val="cat-UserDefined grp-31 rplc-10"/>
    <w:basedOn w:val="DefaultParagraphFont"/>
  </w:style>
  <w:style w:type="character" w:customStyle="1" w:styleId="cat-ExternalSystemDefinedgrp-30rplc-13">
    <w:name w:val="cat-ExternalSystemDefined grp-30 rplc-13"/>
    <w:basedOn w:val="DefaultParagraphFont"/>
  </w:style>
  <w:style w:type="character" w:customStyle="1" w:styleId="cat-ExternalSystemDefinedgrp-29rplc-15">
    <w:name w:val="cat-ExternalSystemDefined grp-29 rplc-15"/>
    <w:basedOn w:val="DefaultParagraphFont"/>
  </w:style>
  <w:style w:type="character" w:customStyle="1" w:styleId="cat-CarNumbergrp-25rplc-21">
    <w:name w:val="cat-CarNumber grp-25 rplc-21"/>
    <w:basedOn w:val="DefaultParagraphFont"/>
  </w:style>
  <w:style w:type="character" w:customStyle="1" w:styleId="cat-UserDefinedgrp-32rplc-28">
    <w:name w:val="cat-UserDefined grp-32 rplc-28"/>
    <w:basedOn w:val="DefaultParagraphFont"/>
  </w:style>
  <w:style w:type="character" w:customStyle="1" w:styleId="cat-CarNumbergrp-25rplc-36">
    <w:name w:val="cat-CarNumber grp-25 rplc-36"/>
    <w:basedOn w:val="DefaultParagraphFont"/>
  </w:style>
  <w:style w:type="character" w:customStyle="1" w:styleId="cat-CarNumbergrp-25rplc-43">
    <w:name w:val="cat-CarNumber grp-25 rplc-43"/>
    <w:basedOn w:val="DefaultParagraphFont"/>
  </w:style>
  <w:style w:type="character" w:customStyle="1" w:styleId="cat-ExternalSystemDefinedgrp-27rplc-45">
    <w:name w:val="cat-ExternalSystemDefined grp-27 rplc-45"/>
    <w:basedOn w:val="DefaultParagraphFont"/>
  </w:style>
  <w:style w:type="character" w:customStyle="1" w:styleId="cat-CarNumbergrp-25rplc-51">
    <w:name w:val="cat-CarNumber grp-25 rplc-51"/>
    <w:basedOn w:val="DefaultParagraphFont"/>
  </w:style>
  <w:style w:type="character" w:customStyle="1" w:styleId="cat-CarNumbergrp-25rplc-54">
    <w:name w:val="cat-CarNumber grp-25 rplc-54"/>
    <w:basedOn w:val="DefaultParagraphFont"/>
  </w:style>
  <w:style w:type="character" w:customStyle="1" w:styleId="cat-UserDefinedgrp-33rplc-64">
    <w:name w:val="cat-UserDefined grp-33 rplc-64"/>
    <w:basedOn w:val="DefaultParagraphFont"/>
  </w:style>
  <w:style w:type="character" w:customStyle="1" w:styleId="cat-UserDefinedgrp-34rplc-67">
    <w:name w:val="cat-UserDefined grp-34 rplc-67"/>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48809&amp;dst=100064&amp;field=134&amp;date=30.06.2024" TargetMode="External" /><Relationship Id="rId5" Type="http://schemas.openxmlformats.org/officeDocument/2006/relationships/hyperlink" Target="https://login.consultant.ru/link/?req=doc&amp;demo=2&amp;base=LAW&amp;n=448809&amp;dst=100015&amp;field=134&amp;date=30.06.2024" TargetMode="External" /><Relationship Id="rId6" Type="http://schemas.openxmlformats.org/officeDocument/2006/relationships/hyperlink" Target="https://login.consultant.ru/link/?req=doc&amp;demo=2&amp;base=LAW&amp;n=448809&amp;dst=97&amp;field=134&amp;date=30.06.2024" TargetMode="Externa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AC5077D-31A7-4162-950B-8078A8EADDC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